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4" w:rsidRPr="00587D34" w:rsidRDefault="00587D34" w:rsidP="00587D34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</w:pPr>
      <w:r w:rsidRPr="00587D34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br/>
        <w:t>Счётчики воды</w:t>
      </w:r>
      <w:r w:rsidR="00A24CF8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 xml:space="preserve"> </w:t>
      </w:r>
      <w:r w:rsidR="00865C96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«</w:t>
      </w:r>
      <w:proofErr w:type="spellStart"/>
      <w:r w:rsidR="00A24CF8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val="en-US" w:eastAsia="ru-RU"/>
        </w:rPr>
        <w:t>ValTec</w:t>
      </w:r>
      <w:proofErr w:type="spellEnd"/>
      <w:r w:rsidR="00865C96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»</w:t>
      </w:r>
    </w:p>
    <w:p w:rsidR="00587D34" w:rsidRPr="00587D34" w:rsidRDefault="00587D34" w:rsidP="00587D34">
      <w:pPr>
        <w:tabs>
          <w:tab w:val="left" w:pos="3960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0" cy="1762125"/>
            <wp:effectExtent l="19050" t="0" r="0" b="0"/>
            <wp:docPr id="1" name="Рисунок 0" descr="V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drawing>
          <wp:inline distT="0" distB="0" distL="0" distR="0">
            <wp:extent cx="2705100" cy="1762125"/>
            <wp:effectExtent l="19050" t="0" r="0" b="0"/>
            <wp:docPr id="2" name="Рисунок 0" descr="V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34" w:rsidRPr="00587D34" w:rsidRDefault="00587D34" w:rsidP="00587D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</w:t>
      </w:r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Компания </w:t>
      </w:r>
      <w:r w:rsidR="00AD50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«ТЭЦ»</w:t>
      </w:r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предлагает широкий ассортимент </w:t>
      </w:r>
      <w:proofErr w:type="spellStart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водосчетчиков</w:t>
      </w:r>
      <w:proofErr w:type="spellEnd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марки </w:t>
      </w:r>
      <w:proofErr w:type="spellStart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Valtec</w:t>
      </w:r>
      <w:proofErr w:type="spellEnd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Применение счетчиков воды становится в настоящее время актуальной тенденцией. Благодаря использованию </w:t>
      </w:r>
      <w:proofErr w:type="spellStart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водосчетчиков</w:t>
      </w:r>
      <w:proofErr w:type="spellEnd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Valtec</w:t>
      </w:r>
      <w:proofErr w:type="spellEnd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 устраняете необходимость переплачивать за неиспользованные кубометры воды. Если в бытовых масштабах счетчики воды способны экономить сотни рублей, то промышленное использование </w:t>
      </w:r>
      <w:proofErr w:type="spellStart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водосчетчиков</w:t>
      </w:r>
      <w:proofErr w:type="spellEnd"/>
      <w:r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бережет миллионы и миллиарды.</w:t>
      </w:r>
    </w:p>
    <w:p w:rsidR="00587D34" w:rsidRDefault="00A24CF8" w:rsidP="00587D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</w:t>
      </w:r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счетчики воды, представленные компанией VALTEC </w:t>
      </w:r>
      <w:proofErr w:type="spellStart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S.r.l</w:t>
      </w:r>
      <w:proofErr w:type="spellEnd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предоставляется гарантия, а также сертификаты соответствия Госстандарту РФ. </w:t>
      </w:r>
      <w:proofErr w:type="spellStart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Водосчётчики</w:t>
      </w:r>
      <w:proofErr w:type="spellEnd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горячей и холодной воды </w:t>
      </w:r>
      <w:proofErr w:type="spellStart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Valtec</w:t>
      </w:r>
      <w:proofErr w:type="spellEnd"/>
      <w:r w:rsidR="00587D34" w:rsidRPr="00587D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известны на рынке инженерной сантехники России своей надёжностью и высокой точностью.</w:t>
      </w:r>
    </w:p>
    <w:p w:rsidR="00865C96" w:rsidRPr="00587D34" w:rsidRDefault="00865C96" w:rsidP="00587D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87D34" w:rsidRDefault="00587D34" w:rsidP="00587D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anchor="21" w:history="1">
        <w:r w:rsidRPr="00587D34">
          <w:rPr>
            <w:rFonts w:ascii="Tahoma" w:eastAsia="Times New Roman" w:hAnsi="Tahoma" w:cs="Tahoma"/>
            <w:color w:val="CC3333"/>
            <w:sz w:val="18"/>
            <w:u w:val="single"/>
            <w:lang w:eastAsia="ru-RU"/>
          </w:rPr>
          <w:t>Сертификаты раздела "Счётчики холодной и горячей воды VLF"</w:t>
        </w:r>
      </w:hyperlink>
    </w:p>
    <w:p w:rsidR="00865C96" w:rsidRPr="00587D34" w:rsidRDefault="00865C96" w:rsidP="00587D3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716"/>
        <w:gridCol w:w="759"/>
        <w:gridCol w:w="615"/>
        <w:gridCol w:w="1701"/>
        <w:gridCol w:w="1759"/>
        <w:gridCol w:w="1064"/>
        <w:gridCol w:w="970"/>
      </w:tblGrid>
      <w:tr w:rsidR="00587D34" w:rsidRPr="00587D34" w:rsidTr="00587D34">
        <w:trPr>
          <w:tblCellSpacing w:w="15" w:type="dxa"/>
        </w:trPr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Артикул</w:t>
            </w:r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 xml:space="preserve">Установочная длина, </w:t>
            </w:r>
            <w:proofErr w:type="gram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мм</w:t>
            </w:r>
            <w:proofErr w:type="gramEnd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, г</w:t>
            </w:r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 xml:space="preserve">Вес, </w:t>
            </w:r>
            <w:proofErr w:type="gram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proofErr w:type="spell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t-max</w:t>
            </w:r>
            <w:proofErr w:type="spellEnd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, C</w:t>
            </w:r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 xml:space="preserve">Номинальный расход, </w:t>
            </w:r>
            <w:proofErr w:type="gram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м</w:t>
            </w:r>
            <w:proofErr w:type="gramEnd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/ч</w:t>
            </w:r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Номинальный диаметр, DN</w:t>
            </w:r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 xml:space="preserve">Упаковка, </w:t>
            </w:r>
            <w:proofErr w:type="spellStart"/>
            <w:proofErr w:type="gram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C33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 xml:space="preserve">Коробка, </w:t>
            </w:r>
            <w:proofErr w:type="spellStart"/>
            <w:proofErr w:type="gramStart"/>
            <w:r w:rsidRPr="00587D34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</w:p>
        </w:tc>
      </w:tr>
      <w:tr w:rsidR="00587D34" w:rsidRPr="00587D34" w:rsidTr="00587D34">
        <w:trPr>
          <w:tblCellSpacing w:w="15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VLF-15U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 (80)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640(630)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(12)</w:t>
            </w:r>
          </w:p>
        </w:tc>
      </w:tr>
      <w:tr w:rsidR="00587D34" w:rsidRPr="00587D34" w:rsidTr="00587D34">
        <w:trPr>
          <w:tblCellSpacing w:w="15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VLF-15U (</w:t>
            </w:r>
            <w:proofErr w:type="spellStart"/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</w:t>
            </w:r>
            <w:proofErr w:type="spellEnd"/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(110)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630(640)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(10)</w:t>
            </w:r>
          </w:p>
        </w:tc>
      </w:tr>
      <w:tr w:rsidR="00587D34" w:rsidRPr="00587D34" w:rsidTr="00587D34">
        <w:trPr>
          <w:tblCellSpacing w:w="15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VLF-20U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7D34" w:rsidRPr="00587D34" w:rsidRDefault="00587D34" w:rsidP="00587D34">
            <w:pPr>
              <w:spacing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87D3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</w:tbl>
    <w:p w:rsidR="00A24CF8" w:rsidRDefault="00A24CF8" w:rsidP="00A24CF8">
      <w:pPr>
        <w:spacing w:after="0" w:line="195" w:lineRule="atLeast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Default="00A24CF8" w:rsidP="00A24CF8">
      <w:pPr>
        <w:spacing w:after="0" w:line="195" w:lineRule="atLeast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Default="00A24CF8" w:rsidP="00A24CF8">
      <w:pPr>
        <w:spacing w:after="0" w:line="195" w:lineRule="atLeast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Pr="00A24CF8" w:rsidRDefault="00A24CF8" w:rsidP="00A24CF8">
      <w:pPr>
        <w:spacing w:after="0" w:line="195" w:lineRule="atLeast"/>
        <w:jc w:val="center"/>
        <w:rPr>
          <w:rFonts w:ascii="Tahoma" w:eastAsia="Times New Roman" w:hAnsi="Tahoma" w:cs="Tahoma"/>
          <w:sz w:val="17"/>
          <w:szCs w:val="17"/>
          <w:lang w:eastAsia="ru-RU"/>
        </w:rPr>
      </w:pPr>
      <w:r w:rsidRPr="00587D34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Счётчики воды</w:t>
      </w:r>
      <w:r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 xml:space="preserve"> </w:t>
      </w:r>
      <w:r w:rsidR="00865C96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Бетар</w:t>
      </w:r>
      <w:proofErr w:type="spellEnd"/>
      <w:r w:rsidR="00865C96">
        <w:rPr>
          <w:rFonts w:ascii="Arial" w:eastAsia="Times New Roman" w:hAnsi="Arial" w:cs="Arial"/>
          <w:b/>
          <w:bCs/>
          <w:color w:val="CC3333"/>
          <w:kern w:val="36"/>
          <w:sz w:val="36"/>
          <w:szCs w:val="36"/>
          <w:lang w:eastAsia="ru-RU"/>
        </w:rPr>
        <w:t>»</w:t>
      </w:r>
    </w:p>
    <w:p w:rsidR="00A24CF8" w:rsidRDefault="00A24CF8" w:rsidP="00A24CF8">
      <w:pPr>
        <w:spacing w:after="0" w:line="195" w:lineRule="atLeast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Default="00A24CF8" w:rsidP="00A24CF8">
      <w:pPr>
        <w:spacing w:after="0" w:line="195" w:lineRule="atLeast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Default="00A24CF8" w:rsidP="00A24CF8">
      <w:pPr>
        <w:spacing w:after="0" w:line="195" w:lineRule="atLeast"/>
        <w:rPr>
          <w:rFonts w:ascii="Tahoma" w:eastAsia="Times New Roman" w:hAnsi="Tahoma" w:cs="Tahoma"/>
          <w:sz w:val="17"/>
          <w:szCs w:val="17"/>
          <w:lang w:eastAsia="ru-RU"/>
        </w:rPr>
      </w:pPr>
      <w:r w:rsidRPr="00A24CF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71775" cy="1971675"/>
            <wp:effectExtent l="19050" t="0" r="9525" b="0"/>
            <wp:docPr id="3" name="Рисунок 21" descr="http://www.betar.ru/images/SGV-15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etar.ru/images/SGV-15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CF8">
        <w:rPr>
          <w:rFonts w:ascii="Tahoma" w:eastAsia="Times New Roman" w:hAnsi="Tahoma" w:cs="Tahoma"/>
          <w:sz w:val="17"/>
          <w:szCs w:val="17"/>
          <w:lang w:eastAsia="ru-RU"/>
        </w:rPr>
        <w:drawing>
          <wp:inline distT="0" distB="0" distL="0" distR="0">
            <wp:extent cx="2771775" cy="1971675"/>
            <wp:effectExtent l="19050" t="0" r="9525" b="0"/>
            <wp:docPr id="4" name="Рисунок 22" descr="http://www.betar.ru/images/SHV-15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etar.ru/images/SHV-15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F8" w:rsidRPr="00A24CF8" w:rsidRDefault="00A24CF8" w:rsidP="00A24CF8">
      <w:pPr>
        <w:spacing w:after="0" w:line="195" w:lineRule="atLeast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A24CF8" w:rsidRPr="00865C96" w:rsidRDefault="00A24CF8" w:rsidP="00865C96">
      <w:pPr>
        <w:spacing w:after="0" w:line="19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24CF8">
        <w:rPr>
          <w:rFonts w:ascii="Tahoma" w:eastAsia="Times New Roman" w:hAnsi="Tahoma" w:cs="Tahoma"/>
          <w:sz w:val="17"/>
          <w:szCs w:val="17"/>
          <w:lang w:eastAsia="ru-RU"/>
        </w:rPr>
        <w:t xml:space="preserve">    </w:t>
      </w: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 xml:space="preserve">Счетчики предназначены для измерения объема холодной и горячей питьевой воды, протекающей по трубопроводу при температуре от 5 до 40°С </w:t>
      </w:r>
      <w:proofErr w:type="gramStart"/>
      <w:r w:rsidRPr="00A24CF8"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 w:rsidRPr="00A24CF8">
        <w:rPr>
          <w:rFonts w:ascii="Tahoma" w:eastAsia="Times New Roman" w:hAnsi="Tahoma" w:cs="Tahoma"/>
          <w:sz w:val="18"/>
          <w:szCs w:val="18"/>
          <w:lang w:eastAsia="ru-RU"/>
        </w:rPr>
        <w:t>ля счетчиков холодной воды СХВ, и от 5 до 90°С -для счетчиков горячей воды СГВ при давлении не более 1,0 МПа (10 кгс/см</w:t>
      </w:r>
      <w:r w:rsidRPr="00A24CF8">
        <w:rPr>
          <w:rFonts w:ascii="Tahoma" w:eastAsia="Times New Roman" w:hAnsi="Tahoma" w:cs="Tahoma"/>
          <w:sz w:val="18"/>
          <w:szCs w:val="18"/>
          <w:vertAlign w:val="superscript"/>
          <w:lang w:eastAsia="ru-RU"/>
        </w:rPr>
        <w:t>2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).</w:t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br/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Счетчики типа СХВ, СГВ-15 с антимагнитной защитой отличаются тем, что они не чувствительны к воздействию внешних магнитных полей.</w:t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Счетчики воды с антимагнитной защитой выполнены на основе использования новейших технологий и достижений науки и техники. Антимагнитная защита счетчика достигается за счет своеобразного распределения доменов и магнитного поля в магнитах, применяемых в конструкции прибора.</w:t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Счетчики воды с антимагнитной защитой производств</w:t>
      </w:r>
      <w:proofErr w:type="gramStart"/>
      <w:r w:rsidRPr="00A24CF8">
        <w:rPr>
          <w:rFonts w:ascii="Tahoma" w:eastAsia="Times New Roman" w:hAnsi="Tahoma" w:cs="Tahoma"/>
          <w:sz w:val="18"/>
          <w:szCs w:val="18"/>
          <w:lang w:eastAsia="ru-RU"/>
        </w:rPr>
        <w:t>а ООО</w:t>
      </w:r>
      <w:proofErr w:type="gramEnd"/>
      <w:r w:rsidRPr="00A24CF8">
        <w:rPr>
          <w:rFonts w:ascii="Tahoma" w:eastAsia="Times New Roman" w:hAnsi="Tahoma" w:cs="Tahoma"/>
          <w:sz w:val="18"/>
          <w:szCs w:val="18"/>
          <w:lang w:eastAsia="ru-RU"/>
        </w:rPr>
        <w:t xml:space="preserve"> ПКФ "БЕТАР" по своим свойствам превосходят аналоги отечественного и импортного производства, что подтверждается испытаниями, проведенными независимыми экспертными центрами, как в России, так и за ее пределами.</w:t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Счетчики типа СХВ, СГВ зарегистрированы в Государственном реестре средств измерений Российской Федерации под № 16078-00.</w:t>
      </w:r>
    </w:p>
    <w:p w:rsidR="00865C96" w:rsidRPr="00865C96" w:rsidRDefault="00865C96" w:rsidP="00865C96">
      <w:pPr>
        <w:spacing w:after="0" w:line="19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865C96">
        <w:rPr>
          <w:noProof/>
          <w:sz w:val="18"/>
          <w:szCs w:val="18"/>
          <w:lang w:eastAsia="ru-RU"/>
        </w:rPr>
        <w:drawing>
          <wp:inline distT="0" distB="0" distL="0" distR="0">
            <wp:extent cx="5734050" cy="2286000"/>
            <wp:effectExtent l="19050" t="0" r="0" b="0"/>
            <wp:docPr id="25" name="Рисунок 25" descr="СХВ-15 и СГВ-15 с антимагнитной защи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ХВ-15 и СГВ-15 с антимагнитной защи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F8" w:rsidRPr="00A24CF8" w:rsidRDefault="00A24CF8" w:rsidP="00A24CF8">
      <w:pPr>
        <w:spacing w:after="240" w:line="19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hyperlink r:id="rId11" w:tgtFrame="watch" w:history="1">
        <w:r w:rsidRPr="00865C96">
          <w:rPr>
            <w:rFonts w:ascii="Tahoma" w:eastAsia="Times New Roman" w:hAnsi="Tahoma" w:cs="Tahoma"/>
            <w:color w:val="FF0000"/>
            <w:sz w:val="18"/>
            <w:szCs w:val="18"/>
            <w:lang w:eastAsia="ru-RU"/>
          </w:rPr>
          <w:t>[ чертеж прибора</w:t>
        </w:r>
        <w:proofErr w:type="gramStart"/>
        <w:r w:rsidRPr="00865C96">
          <w:rPr>
            <w:rFonts w:ascii="Tahoma" w:eastAsia="Times New Roman" w:hAnsi="Tahoma" w:cs="Tahoma"/>
            <w:color w:val="FF0000"/>
            <w:sz w:val="18"/>
            <w:szCs w:val="18"/>
            <w:lang w:eastAsia="ru-RU"/>
          </w:rPr>
          <w:t xml:space="preserve"> ]</w:t>
        </w:r>
        <w:proofErr w:type="gramEnd"/>
      </w:hyperlink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t>Все материалы, используемые при изготовлении счетчиков разрешены к применению Министерством Здравоохранения Российской Федерации.</w:t>
      </w:r>
      <w:r w:rsidRPr="00865C9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A24CF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65C9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Основные параметры счетчиков:</w:t>
      </w:r>
    </w:p>
    <w:tbl>
      <w:tblPr>
        <w:tblW w:w="9206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710"/>
        <w:gridCol w:w="1496"/>
      </w:tblGrid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4000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400000"/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24CF8" w:rsidRPr="00A24CF8" w:rsidTr="00865C96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Диаметр условного прохода </w:t>
            </w:r>
            <w:proofErr w:type="spellStart"/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Ду</w:t>
            </w:r>
            <w:proofErr w:type="spellEnd"/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  [мм]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</w:tr>
      <w:tr w:rsidR="00A24CF8" w:rsidRPr="00A24CF8" w:rsidTr="00865C96">
        <w:trPr>
          <w:trHeight w:val="222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Номинальный расход воды   [м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/ч]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Порог чувствительности, не более   [м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/ч]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0,015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Длина счетчика со штуцерами, L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>1</w:t>
            </w:r>
            <w:r w:rsidRPr="00865C9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[мм]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Обозначение присоединительных размеров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150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счетчика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 ¾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150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штуцеров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 ½</w:t>
            </w:r>
          </w:p>
        </w:tc>
      </w:tr>
      <w:tr w:rsidR="00A24CF8" w:rsidRPr="00A24CF8" w:rsidTr="00865C9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Масса без комплекта монтажных частей, не более   [</w:t>
            </w:r>
            <w:proofErr w:type="gramStart"/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A24CF8" w:rsidRPr="00A24CF8" w:rsidRDefault="00A24CF8" w:rsidP="00A24C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24C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0,5</w:t>
            </w:r>
          </w:p>
        </w:tc>
      </w:tr>
    </w:tbl>
    <w:p w:rsidR="00865C96" w:rsidRDefault="00865C96" w:rsidP="00865C96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color w:val="CC3333"/>
          <w:sz w:val="36"/>
          <w:szCs w:val="36"/>
        </w:rPr>
      </w:pPr>
    </w:p>
    <w:p w:rsidR="00865C96" w:rsidRDefault="00865C96" w:rsidP="00865C96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bCs w:val="0"/>
          <w:color w:val="CC3333"/>
          <w:sz w:val="36"/>
          <w:szCs w:val="36"/>
        </w:rPr>
      </w:pPr>
      <w:r w:rsidRPr="00587D34">
        <w:rPr>
          <w:rFonts w:ascii="Arial" w:hAnsi="Arial" w:cs="Arial"/>
          <w:color w:val="CC3333"/>
          <w:sz w:val="36"/>
          <w:szCs w:val="36"/>
        </w:rPr>
        <w:t>Счётчики воды</w:t>
      </w:r>
      <w:r>
        <w:rPr>
          <w:rFonts w:ascii="Arial" w:hAnsi="Arial" w:cs="Arial"/>
          <w:b w:val="0"/>
          <w:bCs w:val="0"/>
          <w:color w:val="CC3333"/>
          <w:sz w:val="36"/>
          <w:szCs w:val="36"/>
        </w:rPr>
        <w:t xml:space="preserve"> «</w:t>
      </w:r>
      <w:proofErr w:type="spellStart"/>
      <w:r>
        <w:rPr>
          <w:rFonts w:ascii="Arial" w:hAnsi="Arial" w:cs="Arial"/>
          <w:bCs w:val="0"/>
          <w:color w:val="CC3333"/>
          <w:sz w:val="36"/>
          <w:szCs w:val="36"/>
        </w:rPr>
        <w:t>Берегун</w:t>
      </w:r>
      <w:proofErr w:type="spellEnd"/>
      <w:r>
        <w:rPr>
          <w:rFonts w:ascii="Arial" w:hAnsi="Arial" w:cs="Arial"/>
          <w:bCs w:val="0"/>
          <w:color w:val="CC3333"/>
          <w:sz w:val="36"/>
          <w:szCs w:val="36"/>
        </w:rPr>
        <w:t>»</w:t>
      </w:r>
    </w:p>
    <w:p w:rsidR="00865C96" w:rsidRDefault="00865C96" w:rsidP="00865C96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b w:val="0"/>
          <w:bCs w:val="0"/>
          <w:color w:val="000000"/>
          <w:sz w:val="41"/>
          <w:szCs w:val="41"/>
        </w:rPr>
      </w:pPr>
    </w:p>
    <w:p w:rsidR="00865C96" w:rsidRDefault="00865C96" w:rsidP="00865C96">
      <w:pPr>
        <w:pStyle w:val="a3"/>
        <w:spacing w:before="0" w:beforeAutospacing="0" w:after="288" w:afterAutospacing="0"/>
        <w:ind w:left="375" w:right="375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</w:t>
      </w:r>
      <w:r w:rsidRPr="00865C96">
        <w:rPr>
          <w:rFonts w:ascii="Tahoma" w:hAnsi="Tahoma" w:cs="Tahoma"/>
          <w:color w:val="000000"/>
          <w:sz w:val="18"/>
          <w:szCs w:val="18"/>
        </w:rPr>
        <w:t>Квартирные счетчики воды «</w:t>
      </w:r>
      <w:proofErr w:type="spellStart"/>
      <w:r w:rsidRPr="00865C96">
        <w:rPr>
          <w:rFonts w:ascii="Tahoma" w:hAnsi="Tahoma" w:cs="Tahoma"/>
          <w:color w:val="000000"/>
          <w:sz w:val="18"/>
          <w:szCs w:val="18"/>
        </w:rPr>
        <w:t>Берегун</w:t>
      </w:r>
      <w:proofErr w:type="spellEnd"/>
      <w:r w:rsidRPr="00865C96">
        <w:rPr>
          <w:rFonts w:ascii="Tahoma" w:hAnsi="Tahoma" w:cs="Tahoma"/>
          <w:color w:val="000000"/>
          <w:sz w:val="18"/>
          <w:szCs w:val="18"/>
        </w:rPr>
        <w:t>» предназначены для измерения суммарного расхода воды в системах водоснабжения. Счетчики внесены в Перечень приборов учета воды, рекомендованных для установки в квартирах Москвы. Успешно прошли испытания на магнитную устойчивость во ФГУП ВНИИМС. Страна-производитель — Россия. Гарантия — три года.</w:t>
      </w:r>
    </w:p>
    <w:p w:rsidR="00865C96" w:rsidRPr="00865C96" w:rsidRDefault="00865C96" w:rsidP="00865C96">
      <w:pPr>
        <w:pStyle w:val="a3"/>
        <w:spacing w:before="0" w:beforeAutospacing="0" w:after="288" w:afterAutospacing="0"/>
        <w:ind w:left="375" w:right="3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Pr="00865C96">
        <w:rPr>
          <w:rFonts w:ascii="Tahoma" w:hAnsi="Tahoma" w:cs="Tahoma"/>
          <w:color w:val="000000"/>
          <w:sz w:val="18"/>
          <w:szCs w:val="18"/>
        </w:rPr>
        <w:t>Счетчики измеряют объем воды, протекающей в системах холодного и горячего водоснабжения в жилых домах и объектах ЖКХ. Они также могут использоваться и в других сферах, требующих учета потребляемой воды. Приборы выполнены на высоком техническом уровне, проходят все необходимые процедуры по контролю качества.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690"/>
        <w:gridCol w:w="7050"/>
        <w:gridCol w:w="715"/>
      </w:tblGrid>
      <w:tr w:rsidR="00865C96" w:rsidTr="00865C96">
        <w:trPr>
          <w:tblCellSpacing w:w="0" w:type="dxa"/>
        </w:trPr>
        <w:tc>
          <w:tcPr>
            <w:tcW w:w="1900" w:type="pct"/>
            <w:vAlign w:val="center"/>
            <w:hideMark/>
          </w:tcPr>
          <w:p w:rsidR="00865C96" w:rsidRDefault="00865C9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52450" cy="2714625"/>
                  <wp:effectExtent l="19050" t="0" r="0" b="0"/>
                  <wp:docPr id="28" name="Рисунок 28" descr="http://www.beregun.ru/i/beregun-vodomer-r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eregun.ru/i/beregun-vodomer-r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5C96" w:rsidRDefault="00865C9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2714625"/>
                  <wp:effectExtent l="19050" t="0" r="0" b="0"/>
                  <wp:docPr id="29" name="Рисунок 29" descr="http://www.beregun.ru/i/beregun-vodomer-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eregun.ru/i/beregun-vodomer-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865C96" w:rsidRDefault="00865C96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57700" cy="2714625"/>
                  <wp:effectExtent l="19050" t="0" r="0" b="0"/>
                  <wp:docPr id="30" name="Рисунок 30" descr="http://www.beregun.ru/i/beregun-vodo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eregun.ru/i/beregun-vodo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vAlign w:val="center"/>
            <w:hideMark/>
          </w:tcPr>
          <w:p w:rsidR="00865C96" w:rsidRDefault="00865C96">
            <w:pPr>
              <w:rPr>
                <w:sz w:val="24"/>
                <w:szCs w:val="24"/>
              </w:rPr>
            </w:pPr>
          </w:p>
        </w:tc>
      </w:tr>
    </w:tbl>
    <w:p w:rsidR="00865C96" w:rsidRDefault="00865C96" w:rsidP="00865C96">
      <w:pPr>
        <w:rPr>
          <w:rStyle w:val="apple-style-span"/>
          <w:rFonts w:ascii="Arial" w:hAnsi="Arial" w:cs="Arial"/>
          <w:vanish/>
          <w:color w:val="000000"/>
          <w:sz w:val="27"/>
          <w:szCs w:val="27"/>
        </w:rPr>
      </w:pPr>
    </w:p>
    <w:tbl>
      <w:tblPr>
        <w:tblW w:w="8906" w:type="dxa"/>
        <w:tblCellSpacing w:w="0" w:type="dxa"/>
        <w:tblInd w:w="375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8906"/>
      </w:tblGrid>
      <w:tr w:rsidR="00865C96" w:rsidTr="003500A7">
        <w:trPr>
          <w:trHeight w:val="133"/>
          <w:tblCellSpacing w:w="0" w:type="dxa"/>
        </w:trPr>
        <w:tc>
          <w:tcPr>
            <w:tcW w:w="0" w:type="auto"/>
            <w:shd w:val="clear" w:color="auto" w:fill="F2F2F2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65C96" w:rsidRDefault="003500A7">
            <w:pPr>
              <w:pStyle w:val="a3"/>
              <w:spacing w:before="0" w:beforeAutospacing="0" w:after="288" w:afterAutospacing="0"/>
              <w:ind w:left="150"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65C96">
              <w:rPr>
                <w:sz w:val="20"/>
                <w:szCs w:val="20"/>
              </w:rPr>
              <w:t>В феврале 2009 получен</w:t>
            </w:r>
            <w:r w:rsidR="00865C96">
              <w:rPr>
                <w:rStyle w:val="apple-converted-space"/>
                <w:sz w:val="20"/>
                <w:szCs w:val="20"/>
              </w:rPr>
              <w:t> </w:t>
            </w:r>
            <w:hyperlink r:id="rId15" w:history="1">
              <w:r w:rsidR="00865C96" w:rsidRPr="003500A7">
                <w:rPr>
                  <w:rStyle w:val="a4"/>
                  <w:color w:val="auto"/>
                  <w:sz w:val="20"/>
                  <w:szCs w:val="20"/>
                  <w:u w:val="none"/>
                </w:rPr>
                <w:t>Европейский сертификат тестирования PTB</w:t>
              </w:r>
            </w:hyperlink>
            <w:r w:rsidR="00865C96">
              <w:rPr>
                <w:sz w:val="20"/>
                <w:szCs w:val="20"/>
              </w:rPr>
              <w:t>, выданный Федеральным физико-техническим институтом Германии. Сертификат подтверждает, что счетчики воды «</w:t>
            </w:r>
            <w:proofErr w:type="spellStart"/>
            <w:r w:rsidR="00865C96">
              <w:rPr>
                <w:sz w:val="20"/>
                <w:szCs w:val="20"/>
              </w:rPr>
              <w:t>Берегун</w:t>
            </w:r>
            <w:proofErr w:type="spellEnd"/>
            <w:r w:rsidR="00865C96">
              <w:rPr>
                <w:sz w:val="20"/>
                <w:szCs w:val="20"/>
              </w:rPr>
              <w:t>» можно использовать на </w:t>
            </w:r>
            <w:proofErr w:type="spellStart"/>
            <w:r w:rsidR="00865C96">
              <w:rPr>
                <w:sz w:val="20"/>
                <w:szCs w:val="20"/>
              </w:rPr>
              <w:t>територрии</w:t>
            </w:r>
            <w:proofErr w:type="spellEnd"/>
            <w:r w:rsidR="00865C96">
              <w:rPr>
                <w:sz w:val="20"/>
                <w:szCs w:val="20"/>
              </w:rPr>
              <w:t xml:space="preserve"> Евросоюза, и позволяет ставить знак CE на приборы.</w:t>
            </w:r>
          </w:p>
          <w:tbl>
            <w:tblPr>
              <w:tblW w:w="795" w:type="dxa"/>
              <w:tblCellSpacing w:w="0" w:type="dxa"/>
              <w:tblInd w:w="1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8"/>
              <w:gridCol w:w="7"/>
            </w:tblGrid>
            <w:tr w:rsidR="00865C96" w:rsidTr="003500A7">
              <w:trPr>
                <w:trHeight w:val="45"/>
                <w:tblCellSpacing w:w="0" w:type="dxa"/>
              </w:trPr>
              <w:tc>
                <w:tcPr>
                  <w:tcW w:w="788" w:type="dxa"/>
                  <w:tcMar>
                    <w:top w:w="45" w:type="dxa"/>
                    <w:left w:w="0" w:type="dxa"/>
                    <w:bottom w:w="0" w:type="dxa"/>
                    <w:right w:w="120" w:type="dxa"/>
                  </w:tcMar>
                  <w:vAlign w:val="bottom"/>
                  <w:hideMark/>
                </w:tcPr>
                <w:p w:rsidR="00865C96" w:rsidRDefault="00865C96">
                  <w:pPr>
                    <w:spacing w:after="288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865C96" w:rsidRDefault="00865C96">
                  <w:pPr>
                    <w:spacing w:after="288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865C96" w:rsidRDefault="00865C96">
            <w:pPr>
              <w:rPr>
                <w:sz w:val="24"/>
                <w:szCs w:val="24"/>
              </w:rPr>
            </w:pPr>
          </w:p>
        </w:tc>
      </w:tr>
    </w:tbl>
    <w:p w:rsidR="00865C96" w:rsidRDefault="00865C96" w:rsidP="00865C96">
      <w:pPr>
        <w:pStyle w:val="2"/>
        <w:spacing w:before="0"/>
        <w:ind w:left="375" w:right="375"/>
        <w:rPr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Типы приборов учета воды</w:t>
      </w:r>
    </w:p>
    <w:tbl>
      <w:tblPr>
        <w:tblW w:w="5000" w:type="pct"/>
        <w:tblCellSpacing w:w="0" w:type="dxa"/>
        <w:tblBorders>
          <w:left w:val="single" w:sz="48" w:space="0" w:color="FFFFFF"/>
          <w:right w:val="single" w:sz="48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21"/>
        <w:gridCol w:w="3163"/>
        <w:gridCol w:w="3411"/>
      </w:tblGrid>
      <w:tr w:rsidR="00865C96" w:rsidTr="00865C96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Default="00865C96">
            <w:pPr>
              <w:spacing w:after="240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28750" cy="714375"/>
                  <wp:effectExtent l="19050" t="0" r="0" b="0"/>
                  <wp:docPr id="32" name="Рисунок 32" descr="http://www.beregun.ru/f/watermeter/w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eregun.ru/f/watermeter/w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Default="00865C96">
            <w:pPr>
              <w:spacing w:after="240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33500" cy="666750"/>
                  <wp:effectExtent l="19050" t="0" r="0" b="0"/>
                  <wp:docPr id="33" name="Рисунок 33" descr="http://www.beregun.ru/f/watermeter/w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eregun.ru/f/watermeter/w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Default="00865C96">
            <w:pPr>
              <w:spacing w:after="240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47800" cy="809625"/>
                  <wp:effectExtent l="19050" t="0" r="0" b="0"/>
                  <wp:docPr id="34" name="Рисунок 34" descr="http://www.beregun.ru/f/watermeter/w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eregun.ru/f/watermeter/w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C96" w:rsidTr="00865C96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Pr="003500A7" w:rsidRDefault="00865C96">
            <w:pPr>
              <w:spacing w:after="240"/>
              <w:rPr>
                <w:b/>
                <w:sz w:val="17"/>
                <w:szCs w:val="17"/>
              </w:rPr>
            </w:pPr>
            <w:r w:rsidRPr="003500A7">
              <w:rPr>
                <w:b/>
                <w:sz w:val="17"/>
                <w:szCs w:val="17"/>
              </w:rPr>
              <w:t>Счетчик воды с импульсным выходом, 80 мм</w:t>
            </w:r>
            <w:r w:rsidRPr="003500A7">
              <w:rPr>
                <w:b/>
                <w:sz w:val="17"/>
                <w:szCs w:val="17"/>
              </w:rPr>
              <w:br/>
              <w:t>(Берегун.01.15.080, Берегун.02.15.080)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Pr="003500A7" w:rsidRDefault="00865C96">
            <w:pPr>
              <w:spacing w:after="240"/>
              <w:rPr>
                <w:b/>
                <w:sz w:val="17"/>
                <w:szCs w:val="17"/>
              </w:rPr>
            </w:pPr>
            <w:r w:rsidRPr="003500A7">
              <w:rPr>
                <w:b/>
                <w:sz w:val="17"/>
                <w:szCs w:val="17"/>
              </w:rPr>
              <w:t>Счетчик воды без импульсного выхода, 80 мм</w:t>
            </w:r>
            <w:r w:rsidRPr="003500A7">
              <w:rPr>
                <w:b/>
                <w:sz w:val="17"/>
                <w:szCs w:val="17"/>
              </w:rPr>
              <w:br/>
              <w:t>(Берегун.01.15.080, Берегун.02.15.080)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5C96" w:rsidRPr="003500A7" w:rsidRDefault="00865C96">
            <w:pPr>
              <w:spacing w:after="240"/>
              <w:rPr>
                <w:b/>
                <w:sz w:val="17"/>
                <w:szCs w:val="17"/>
              </w:rPr>
            </w:pPr>
            <w:r w:rsidRPr="003500A7">
              <w:rPr>
                <w:b/>
                <w:sz w:val="17"/>
                <w:szCs w:val="17"/>
              </w:rPr>
              <w:t>Счетчик воды без импульсного выхода, 110 мм</w:t>
            </w:r>
            <w:r w:rsidRPr="003500A7">
              <w:rPr>
                <w:b/>
                <w:sz w:val="17"/>
                <w:szCs w:val="17"/>
              </w:rPr>
              <w:br/>
              <w:t>(Берегун.01.15.110, Берегун.02.15.110)</w:t>
            </w:r>
          </w:p>
        </w:tc>
      </w:tr>
    </w:tbl>
    <w:p w:rsidR="003500A7" w:rsidRDefault="003500A7" w:rsidP="003500A7">
      <w:pPr>
        <w:pStyle w:val="1"/>
        <w:spacing w:before="0" w:beforeAutospacing="0" w:after="0" w:afterAutospacing="0"/>
        <w:ind w:left="375" w:right="375"/>
        <w:rPr>
          <w:rFonts w:ascii="Arial" w:hAnsi="Arial" w:cs="Arial"/>
          <w:b w:val="0"/>
          <w:bCs w:val="0"/>
          <w:color w:val="000000"/>
          <w:sz w:val="41"/>
          <w:szCs w:val="41"/>
        </w:rPr>
      </w:pPr>
    </w:p>
    <w:p w:rsidR="003500A7" w:rsidRDefault="003500A7" w:rsidP="003500A7">
      <w:pPr>
        <w:pStyle w:val="1"/>
        <w:spacing w:before="0" w:beforeAutospacing="0" w:after="0" w:afterAutospacing="0"/>
        <w:ind w:left="375" w:right="375"/>
        <w:rPr>
          <w:rFonts w:ascii="Arial" w:hAnsi="Arial" w:cs="Arial"/>
          <w:b w:val="0"/>
          <w:bCs w:val="0"/>
          <w:color w:val="000000"/>
          <w:sz w:val="41"/>
          <w:szCs w:val="41"/>
        </w:rPr>
      </w:pPr>
      <w:r>
        <w:rPr>
          <w:rFonts w:ascii="Arial" w:hAnsi="Arial" w:cs="Arial"/>
          <w:b w:val="0"/>
          <w:bCs w:val="0"/>
          <w:color w:val="000000"/>
          <w:sz w:val="41"/>
          <w:szCs w:val="41"/>
        </w:rPr>
        <w:t>Технические характеристики</w:t>
      </w:r>
    </w:p>
    <w:p w:rsidR="003500A7" w:rsidRDefault="003500A7" w:rsidP="003500A7">
      <w:pPr>
        <w:spacing w:after="288" w:line="240" w:lineRule="auto"/>
        <w:ind w:left="375" w:right="375"/>
        <w:rPr>
          <w:rFonts w:ascii="Tahoma" w:eastAsia="Times New Roman" w:hAnsi="Tahoma" w:cs="Tahoma"/>
          <w:color w:val="000000"/>
          <w:sz w:val="18"/>
          <w:szCs w:val="20"/>
          <w:lang w:eastAsia="ru-RU"/>
        </w:rPr>
      </w:pPr>
    </w:p>
    <w:p w:rsidR="003500A7" w:rsidRPr="003500A7" w:rsidRDefault="003500A7" w:rsidP="003500A7">
      <w:pPr>
        <w:spacing w:after="288" w:line="240" w:lineRule="auto"/>
        <w:ind w:left="375" w:right="375"/>
        <w:rPr>
          <w:rFonts w:ascii="Tahoma" w:eastAsia="Times New Roman" w:hAnsi="Tahoma" w:cs="Tahoma"/>
          <w:color w:val="000000"/>
          <w:sz w:val="1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    </w:t>
      </w:r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Счетчики холодной и горячей воды предназначены для измерения объема питьевой холодной и горячей воды индивидуальными потребителями по </w:t>
      </w:r>
      <w:proofErr w:type="spellStart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СанПиН</w:t>
      </w:r>
      <w:proofErr w:type="spellEnd"/>
      <w:r w:rsidRPr="003500A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2.1.4.1074-01.</w:t>
      </w:r>
    </w:p>
    <w:p w:rsidR="003500A7" w:rsidRPr="003500A7" w:rsidRDefault="003500A7" w:rsidP="003500A7">
      <w:pPr>
        <w:spacing w:after="288" w:line="240" w:lineRule="auto"/>
        <w:ind w:left="375" w:right="375"/>
        <w:rPr>
          <w:rFonts w:ascii="Tahoma" w:eastAsia="Times New Roman" w:hAnsi="Tahoma" w:cs="Tahoma"/>
          <w:color w:val="000000"/>
          <w:sz w:val="1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    </w:t>
      </w:r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По устойчивости к воздействию температуры и влажности окружающего воздуха счетчики соответствуют исполнению В</w:t>
      </w:r>
      <w:proofErr w:type="gramStart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4</w:t>
      </w:r>
      <w:proofErr w:type="gramEnd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 по ГОСТ 12997.</w:t>
      </w:r>
    </w:p>
    <w:p w:rsidR="003500A7" w:rsidRPr="003500A7" w:rsidRDefault="003500A7" w:rsidP="003500A7">
      <w:pPr>
        <w:spacing w:after="288" w:line="240" w:lineRule="auto"/>
        <w:ind w:left="375" w:right="375"/>
        <w:rPr>
          <w:rFonts w:ascii="Tahoma" w:eastAsia="Times New Roman" w:hAnsi="Tahoma" w:cs="Tahoma"/>
          <w:color w:val="000000"/>
          <w:sz w:val="1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    </w:t>
      </w:r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По метрологическим классам счетчики соответствуют классу В при горизонтальной установке или классу А при вертикальной установке согласно ГОСТ </w:t>
      </w:r>
      <w:proofErr w:type="gramStart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Р</w:t>
      </w:r>
      <w:proofErr w:type="gramEnd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 50193.1.</w:t>
      </w:r>
    </w:p>
    <w:p w:rsidR="003500A7" w:rsidRPr="003500A7" w:rsidRDefault="003500A7" w:rsidP="003500A7">
      <w:pPr>
        <w:spacing w:after="288" w:line="240" w:lineRule="auto"/>
        <w:ind w:left="375" w:right="375"/>
        <w:rPr>
          <w:rFonts w:ascii="Tahoma" w:eastAsia="Times New Roman" w:hAnsi="Tahoma" w:cs="Tahoma"/>
          <w:color w:val="000000"/>
          <w:sz w:val="18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    </w:t>
      </w:r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Для дистанционной передачи результатов измерений предлагаем счетчики воды с импульсным выходом (геркон, цепь </w:t>
      </w:r>
      <w:proofErr w:type="spellStart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Намур</w:t>
      </w:r>
      <w:proofErr w:type="spellEnd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) с дискретностью 1 импульс × 10 литров.</w:t>
      </w:r>
    </w:p>
    <w:p w:rsidR="003500A7" w:rsidRPr="003500A7" w:rsidRDefault="003500A7" w:rsidP="003500A7">
      <w:pPr>
        <w:spacing w:after="288" w:line="240" w:lineRule="auto"/>
        <w:ind w:left="375" w:righ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    </w:t>
      </w:r>
      <w:proofErr w:type="spellStart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Водосчетчики</w:t>
      </w:r>
      <w:proofErr w:type="spellEnd"/>
      <w:r w:rsidRPr="003500A7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 xml:space="preserve"> имеют высокоэффективную защищенность от воздействия магнитных полей постоянных магнитов.</w:t>
      </w:r>
    </w:p>
    <w:tbl>
      <w:tblPr>
        <w:tblW w:w="8771" w:type="dxa"/>
        <w:tblCellSpacing w:w="0" w:type="dxa"/>
        <w:tblBorders>
          <w:left w:val="single" w:sz="48" w:space="0" w:color="FFFFFF"/>
          <w:right w:val="single" w:sz="48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98"/>
        <w:gridCol w:w="1166"/>
        <w:gridCol w:w="1307"/>
      </w:tblGrid>
      <w:tr w:rsidR="003500A7" w:rsidRPr="003500A7" w:rsidTr="003500A7">
        <w:trPr>
          <w:trHeight w:val="456"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5E5E5"/>
            </w:tcBorders>
            <w:shd w:val="clear" w:color="auto" w:fill="F5F5E0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lastRenderedPageBreak/>
              <w:t>Наименование параметров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E0"/>
            <w:tcMar>
              <w:top w:w="120" w:type="dxa"/>
              <w:left w:w="150" w:type="dxa"/>
              <w:bottom w:w="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Характеристики:</w:t>
            </w:r>
          </w:p>
        </w:tc>
      </w:tr>
      <w:tr w:rsidR="003500A7" w:rsidRPr="003500A7" w:rsidTr="003500A7">
        <w:trPr>
          <w:trHeight w:val="112"/>
          <w:tblCellSpacing w:w="0" w:type="dxa"/>
        </w:trPr>
        <w:tc>
          <w:tcPr>
            <w:tcW w:w="0" w:type="auto"/>
            <w:vMerge/>
            <w:tcBorders>
              <w:bottom w:val="single" w:sz="6" w:space="0" w:color="E5E5E5"/>
            </w:tcBorders>
            <w:vAlign w:val="center"/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E0"/>
            <w:tcMar>
              <w:top w:w="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класс</w:t>
            </w:r>
            <w:proofErr w:type="gramStart"/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 А</w:t>
            </w:r>
            <w:proofErr w:type="gramEnd"/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5F5E0"/>
            <w:tcMar>
              <w:top w:w="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класс</w:t>
            </w:r>
            <w:proofErr w:type="gramStart"/>
            <w:r w:rsidRPr="003500A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 В</w:t>
            </w:r>
            <w:proofErr w:type="gramEnd"/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Диаметр условного прохода (ДУ), мм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</w:tr>
      <w:tr w:rsidR="003500A7" w:rsidRPr="003500A7" w:rsidTr="003500A7">
        <w:trPr>
          <w:trHeight w:val="526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Измеряемая среда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холодная и горячая вода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по 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СанПиН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2.1.4.1074-01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Температура измеряемой среды, °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 +5 до +90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Температура окружающего воздуха при относительной влажности 80%, °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 +5 до +50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Резьбовое соединение, дюймов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3/4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воды, м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/ч: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48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Минимальный (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q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>min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0,03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48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Переходный (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q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>t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0,12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48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Номинальный (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q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>n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48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Максимальный (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q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ru-RU"/>
              </w:rPr>
              <w:t>max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службы счетчика, лет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 менее 12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Межповерочный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интервал счетчика 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воды, лет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Межповерочный</w:t>
            </w:r>
            <w:proofErr w:type="spell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интервал счетчика гор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оды, лет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Потеря давления, МПа, не более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0,1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Порог чувствительности, м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/ч, не более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 0,03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 0,015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Минимальная цена деления индикаторного устройства, м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0,00005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Емкость индикаторного устройства, м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99999,999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Масса счетчика в упаковке, 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0,65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Длина соединительного кабеля устройства удаленного считывания, 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</w:t>
            </w:r>
          </w:p>
        </w:tc>
      </w:tr>
      <w:tr w:rsidR="003500A7" w:rsidRPr="003500A7" w:rsidTr="003500A7">
        <w:trPr>
          <w:trHeight w:val="351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Передаточный коэффициент</w:t>
            </w:r>
            <w:proofErr w:type="gram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м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имп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0,0000023148</w:t>
            </w:r>
          </w:p>
        </w:tc>
      </w:tr>
      <w:tr w:rsidR="003500A7" w:rsidRPr="003500A7" w:rsidTr="003500A7">
        <w:trPr>
          <w:trHeight w:val="363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Потребляемый ток устройства считывания, мА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 100</w:t>
            </w:r>
          </w:p>
        </w:tc>
      </w:tr>
      <w:tr w:rsidR="003500A7" w:rsidRPr="003500A7" w:rsidTr="003500A7">
        <w:trPr>
          <w:trHeight w:val="116"/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Устойчивость к магнитному полю, напряженность, кА/м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500A7" w:rsidRPr="003500A7" w:rsidRDefault="003500A7" w:rsidP="003500A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0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 140</w:t>
            </w:r>
          </w:p>
        </w:tc>
      </w:tr>
    </w:tbl>
    <w:p w:rsidR="003500A7" w:rsidRDefault="003500A7" w:rsidP="003500A7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color w:val="CC3333"/>
          <w:sz w:val="36"/>
          <w:szCs w:val="36"/>
        </w:rPr>
      </w:pPr>
    </w:p>
    <w:p w:rsidR="003500A7" w:rsidRDefault="003500A7" w:rsidP="003500A7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color w:val="CC3333"/>
          <w:sz w:val="36"/>
          <w:szCs w:val="36"/>
        </w:rPr>
      </w:pPr>
    </w:p>
    <w:p w:rsidR="003500A7" w:rsidRDefault="003500A7" w:rsidP="003500A7">
      <w:pPr>
        <w:pStyle w:val="1"/>
        <w:spacing w:before="0" w:beforeAutospacing="0" w:after="0" w:afterAutospacing="0"/>
        <w:ind w:left="375" w:right="375"/>
        <w:jc w:val="center"/>
        <w:rPr>
          <w:rFonts w:ascii="Arial" w:hAnsi="Arial" w:cs="Arial"/>
          <w:bCs w:val="0"/>
          <w:color w:val="CC3333"/>
          <w:sz w:val="36"/>
          <w:szCs w:val="36"/>
        </w:rPr>
      </w:pPr>
      <w:r w:rsidRPr="00587D34">
        <w:rPr>
          <w:rFonts w:ascii="Arial" w:hAnsi="Arial" w:cs="Arial"/>
          <w:color w:val="CC3333"/>
          <w:sz w:val="36"/>
          <w:szCs w:val="36"/>
        </w:rPr>
        <w:t>Счётчики воды</w:t>
      </w:r>
      <w:r>
        <w:rPr>
          <w:rFonts w:ascii="Arial" w:hAnsi="Arial" w:cs="Arial"/>
          <w:b w:val="0"/>
          <w:bCs w:val="0"/>
          <w:color w:val="CC3333"/>
          <w:sz w:val="36"/>
          <w:szCs w:val="36"/>
        </w:rPr>
        <w:t xml:space="preserve"> «</w:t>
      </w:r>
      <w:r>
        <w:rPr>
          <w:rFonts w:ascii="Arial" w:hAnsi="Arial" w:cs="Arial"/>
          <w:bCs w:val="0"/>
          <w:color w:val="CC3333"/>
          <w:sz w:val="36"/>
          <w:szCs w:val="36"/>
        </w:rPr>
        <w:t>МЕТЕР»</w:t>
      </w:r>
    </w:p>
    <w:p w:rsidR="003500A7" w:rsidRPr="003500A7" w:rsidRDefault="003500A7" w:rsidP="003500A7">
      <w:pPr>
        <w:spacing w:after="75" w:line="25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3374B9"/>
          <w:sz w:val="17"/>
          <w:szCs w:val="17"/>
          <w:lang w:eastAsia="ru-RU"/>
        </w:rPr>
        <w:drawing>
          <wp:inline distT="0" distB="0" distL="0" distR="0">
            <wp:extent cx="1905000" cy="1371600"/>
            <wp:effectExtent l="19050" t="0" r="0" b="0"/>
            <wp:docPr id="46" name="Рисунок 46" descr="МЕТЕР СВ-15Г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ЕТЕР СВ-15Г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0A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МЕТЕР СВ-15Г</w:t>
      </w:r>
    </w:p>
    <w:p w:rsidR="003500A7" w:rsidRPr="003500A7" w:rsidRDefault="003500A7" w:rsidP="003500A7">
      <w:pPr>
        <w:spacing w:after="0" w:line="255" w:lineRule="atLeas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</w:p>
    <w:p w:rsidR="003500A7" w:rsidRPr="003500A7" w:rsidRDefault="002E04CE" w:rsidP="002E04CE">
      <w:pPr>
        <w:spacing w:after="0" w:line="25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Счетчики воды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крыльчатые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СВ-15Х (одноструйные,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сухоходные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) предназначены для измерения объема холодной питьевой воды и сетевой воды, протекающей по трубопроводу при температуре от 5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˚С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до 40˚С и рабочем давлении в водопроводной сети не более 1,0МПа (10 кгс/см²). Счетчики воды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крыльчатые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СВ-15Г(одноструйные,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сухоходные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) предназначены для измерения объема горячей воды, протекающей по трубопроводу при температуре от 5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°С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до 90°С и рабочем давлении в водопроводной сети не более 1, 0 МПа (10 кгс/см²). Счетчики горячей воды могут применяться для учета холодной воды. 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  <w:t> 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Счетчики СВ-15 могут дополнительно комплектоваться датчиком (</w:t>
      </w:r>
      <w:hyperlink r:id="rId21" w:history="1">
        <w:r w:rsidR="003500A7" w:rsidRPr="003500A7">
          <w:rPr>
            <w:rFonts w:ascii="Tahoma" w:eastAsia="Times New Roman" w:hAnsi="Tahoma" w:cs="Tahoma"/>
            <w:sz w:val="18"/>
            <w:szCs w:val="18"/>
            <w:lang w:eastAsia="ru-RU"/>
          </w:rPr>
          <w:t>магнитоуправляемым герметизированным контактом</w:t>
        </w:r>
      </w:hyperlink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) для дистанционной передачи низкочастотных импульсов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ередаточный коэффициент (цена импульса) указывается при заказе потребителем. Он может быть равен - 1; 10; 100; 1000 л/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имп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. 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  <w:t>  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При оснащении счетчиков 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СВ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импульсными датчиками с любой ценой импульса (</w:t>
      </w:r>
      <w:r>
        <w:rPr>
          <w:rFonts w:ascii="Tahoma" w:eastAsia="Times New Roman" w:hAnsi="Tahoma" w:cs="Tahoma"/>
          <w:sz w:val="18"/>
          <w:szCs w:val="18"/>
          <w:lang w:eastAsia="ru-RU"/>
        </w:rPr>
        <w:t>л/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имп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) в обозначении появляется 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буква «И».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    </w:t>
      </w:r>
      <w:r w:rsidR="003500A7" w:rsidRPr="003500A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Устройство и принцип работы: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     Принцип работы счетчика состоит в измерении числа оборотов крыльчатки, вращающейся под действием потока протекающей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воды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.П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оток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воды попадает в корпус счетчика через входной патрубок, проходит через фильтр и далее поступает в измерительную камеру, внутри которой на твердых опорах вращается крыльчатка, на оси которой установлен магнит ведущей части магнитной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муфты.Вда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, пройдя измерительную камеру, поступает в выходной патрубок счетчика. Количество оборотов крыльчатки пропорционально количеству протекающей воды.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  <w:t>     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Эвольвентная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форма внутреннего сечения входного и выходного патрубков обеспечивает оптимизацию потока воды, уменьшает потери по давлению. Вращение крыльчатки передается к ведомой части магнитной муфты, установленной в счетном механизме. Счетный механизм отделен от измеряемой среды немагнитной </w:t>
      </w:r>
      <w:proofErr w:type="spell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>средоразделительной</w:t>
      </w:r>
      <w:proofErr w:type="spell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мембраной, герметично зафиксированной специальной прижимной гайкой через уплотнительные прокладки. Магнитная муфта защищена от воздействия внешнего магнитного поля двумя антимагнитными кольцами. Корпус счетчика соединяется со счетным механизмом посредством пластмассового кольца. Счетный механизм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имеющий масштабирующий механический редуктор, обеспечивает перевод числа оборотов крыльчатки в объем измеренной воды в м³. Индикаторное устройство счетного механизма имеет 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восемь роликов и один стрелочный указатель для регистрации объема в м³ и его долях. Индикаторное устройство счетного механизма имеет звездочку</w:t>
      </w:r>
      <w:proofErr w:type="gramStart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обеспечивающую повышение разрешающей способности счетчика при его поверке на установках с автоматическим съемом сигнала.</w:t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="003500A7" w:rsidRPr="003500A7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="003500A7" w:rsidRPr="003500A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Отличительные особенности: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внутреннее сечение входного и выходного патрубков имеют </w:t>
      </w:r>
      <w:proofErr w:type="spellStart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>эвольвентную</w:t>
      </w:r>
      <w:proofErr w:type="spellEnd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форму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роликовый счетный механизм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цифровое индикаторное устройство с ценой младшего разряда 1 литр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многополюсные кольцевые магниты в магнитной муфте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магнитная защита от внешнего магнитного поля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максимальный </w:t>
      </w:r>
      <w:proofErr w:type="spellStart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межповерочный</w:t>
      </w:r>
      <w:proofErr w:type="spellEnd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интервал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хромированный латунный корпус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особенности конструкции корпуса </w:t>
      </w:r>
      <w:proofErr w:type="spellStart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водосчетчика</w:t>
      </w:r>
      <w:proofErr w:type="spellEnd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 исключают возможность протечки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навесная свинцовая пломба исключает возможность незаконных манипуляций с прибором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внешний вид с учетом современных требований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комплект присоединительной арматуры латунный, резьба на штуцере коническая с упором. Гайка имеет «ушки» для пломбировки</w:t>
      </w:r>
    </w:p>
    <w:p w:rsidR="003500A7" w:rsidRPr="003500A7" w:rsidRDefault="003500A7" w:rsidP="003500A7">
      <w:pPr>
        <w:numPr>
          <w:ilvl w:val="0"/>
          <w:numId w:val="2"/>
        </w:numPr>
        <w:spacing w:after="0" w:line="255" w:lineRule="atLeast"/>
        <w:ind w:left="0"/>
        <w:jc w:val="both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3500A7">
        <w:rPr>
          <w:rFonts w:ascii="Tahoma" w:eastAsia="Times New Roman" w:hAnsi="Tahoma" w:cs="Tahoma"/>
          <w:sz w:val="18"/>
          <w:szCs w:val="18"/>
          <w:lang w:eastAsia="ru-RU"/>
        </w:rPr>
        <w:t xml:space="preserve">все компоненты </w:t>
      </w:r>
      <w:proofErr w:type="spellStart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>водосчетчика</w:t>
      </w:r>
      <w:proofErr w:type="spellEnd"/>
      <w:r w:rsidRPr="003500A7">
        <w:rPr>
          <w:rFonts w:ascii="Tahoma" w:eastAsia="Times New Roman" w:hAnsi="Tahoma" w:cs="Tahoma"/>
          <w:sz w:val="18"/>
          <w:szCs w:val="18"/>
          <w:lang w:eastAsia="ru-RU"/>
        </w:rPr>
        <w:t>, соприкасающиеся с водой, проверены и разрешены для использования на питьевой воде.</w:t>
      </w:r>
    </w:p>
    <w:p w:rsidR="003500A7" w:rsidRPr="003500A7" w:rsidRDefault="003500A7" w:rsidP="003500A7">
      <w:pPr>
        <w:spacing w:after="24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7" w:type="dxa"/>
        <w:tblCellSpacing w:w="0" w:type="dxa"/>
        <w:tblBorders>
          <w:top w:val="single" w:sz="6" w:space="0" w:color="A1BCD1"/>
          <w:right w:val="single" w:sz="6" w:space="0" w:color="A1BCD1"/>
        </w:tblBorders>
        <w:tblCellMar>
          <w:left w:w="0" w:type="dxa"/>
          <w:right w:w="0" w:type="dxa"/>
        </w:tblCellMar>
        <w:tblLook w:val="04A0"/>
      </w:tblPr>
      <w:tblGrid>
        <w:gridCol w:w="5851"/>
        <w:gridCol w:w="3856"/>
      </w:tblGrid>
      <w:tr w:rsidR="003500A7" w:rsidRPr="003500A7" w:rsidTr="002E04CE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A1BCD1"/>
            </w:tcBorders>
            <w:shd w:val="clear" w:color="auto" w:fill="A1BCD1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МЕТЕР СВ-15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A1BCD1"/>
            </w:tcBorders>
            <w:shd w:val="clear" w:color="auto" w:fill="A1BCD1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500A7" w:rsidRPr="003500A7" w:rsidTr="002E04CE">
        <w:trPr>
          <w:trHeight w:val="191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Диаметр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00A7" w:rsidRPr="003500A7" w:rsidTr="002E04CE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Номинальный расход </w:t>
            </w:r>
            <w:proofErr w:type="gramStart"/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³/час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3500A7" w:rsidRPr="003500A7" w:rsidTr="002E04CE">
        <w:trPr>
          <w:trHeight w:val="191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холодная; горячая</w:t>
            </w:r>
          </w:p>
        </w:tc>
      </w:tr>
      <w:tr w:rsidR="003500A7" w:rsidRPr="003500A7" w:rsidTr="002E04CE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Импульсный выход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есть; нет</w:t>
            </w:r>
          </w:p>
        </w:tc>
      </w:tr>
      <w:tr w:rsidR="003500A7" w:rsidRPr="003500A7" w:rsidTr="002E04CE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применения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</w:t>
            </w:r>
          </w:p>
        </w:tc>
      </w:tr>
      <w:tr w:rsidR="003500A7" w:rsidRPr="003500A7" w:rsidTr="002E04CE">
        <w:trPr>
          <w:trHeight w:val="191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счетчика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крыльчатый</w:t>
            </w:r>
            <w:proofErr w:type="spellEnd"/>
          </w:p>
        </w:tc>
      </w:tr>
      <w:tr w:rsidR="003500A7" w:rsidRPr="003500A7" w:rsidTr="002E04CE">
        <w:trPr>
          <w:trHeight w:val="180"/>
          <w:tblCellSpacing w:w="0" w:type="dxa"/>
        </w:trPr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корпуса</w:t>
            </w: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left w:val="single" w:sz="6" w:space="0" w:color="A1BCD1"/>
              <w:bottom w:val="single" w:sz="6" w:space="0" w:color="A1BCD1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500A7" w:rsidRPr="003500A7" w:rsidRDefault="003500A7" w:rsidP="0035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латунь; полимер</w:t>
            </w:r>
          </w:p>
        </w:tc>
      </w:tr>
    </w:tbl>
    <w:p w:rsidR="005F7836" w:rsidRPr="00A24CF8" w:rsidRDefault="005F7836"/>
    <w:sectPr w:rsidR="005F7836" w:rsidRPr="00A24CF8" w:rsidSect="005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4B0"/>
    <w:multiLevelType w:val="multilevel"/>
    <w:tmpl w:val="63B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F6CBC"/>
    <w:multiLevelType w:val="multilevel"/>
    <w:tmpl w:val="67AA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87D34"/>
    <w:rsid w:val="000944F5"/>
    <w:rsid w:val="00174B97"/>
    <w:rsid w:val="0029054C"/>
    <w:rsid w:val="002E04CE"/>
    <w:rsid w:val="003432FD"/>
    <w:rsid w:val="003500A7"/>
    <w:rsid w:val="003A40E4"/>
    <w:rsid w:val="00587D34"/>
    <w:rsid w:val="005F7836"/>
    <w:rsid w:val="00865C96"/>
    <w:rsid w:val="00911DF8"/>
    <w:rsid w:val="00A24CF8"/>
    <w:rsid w:val="00AD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6"/>
  </w:style>
  <w:style w:type="paragraph" w:styleId="1">
    <w:name w:val="heading 1"/>
    <w:basedOn w:val="a"/>
    <w:link w:val="10"/>
    <w:uiPriority w:val="9"/>
    <w:qFormat/>
    <w:rsid w:val="00587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D3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7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7D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7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7D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3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24CF8"/>
  </w:style>
  <w:style w:type="character" w:customStyle="1" w:styleId="apple-converted-space">
    <w:name w:val="apple-converted-space"/>
    <w:basedOn w:val="a0"/>
    <w:rsid w:val="00A24CF8"/>
  </w:style>
  <w:style w:type="character" w:styleId="a7">
    <w:name w:val="Strong"/>
    <w:basedOn w:val="a0"/>
    <w:uiPriority w:val="22"/>
    <w:qFormat/>
    <w:rsid w:val="00A24CF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5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38">
          <w:marLeft w:val="0"/>
          <w:marRight w:val="22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meter.ru/gercon" TargetMode="External"/><Relationship Id="rId7" Type="http://schemas.openxmlformats.org/officeDocument/2006/relationships/hyperlink" Target="http://valtec.ru/content/view/201/50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tar.ru/images/shv_sgv-15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regun.ru/f/watermeter/cert-ptb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www.meter.ru/ru/gallery/371357?from=/s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7624-992F-4AC6-A2B1-4F773F50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</dc:creator>
  <cp:lastModifiedBy>Молчанов</cp:lastModifiedBy>
  <cp:revision>2</cp:revision>
  <dcterms:created xsi:type="dcterms:W3CDTF">2011-08-03T16:30:00Z</dcterms:created>
  <dcterms:modified xsi:type="dcterms:W3CDTF">2011-08-03T16:30:00Z</dcterms:modified>
</cp:coreProperties>
</file>